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D73DE" w14:textId="7F24E4C1" w:rsidR="0032149A" w:rsidRPr="00624A55" w:rsidRDefault="0032149A" w:rsidP="00AD52A5">
      <w:pPr>
        <w:pStyle w:val="Heading1"/>
        <w:spacing w:before="120"/>
        <w:rPr>
          <w:lang w:val="en-AU"/>
        </w:rPr>
      </w:pPr>
      <w:r>
        <w:rPr>
          <w:lang w:val="en-AU"/>
        </w:rPr>
        <w:t>Pen</w:t>
      </w:r>
      <w:r w:rsidR="002F0E2F">
        <w:rPr>
          <w:lang w:val="en-AU"/>
        </w:rPr>
        <w:t>cil</w:t>
      </w:r>
      <w:r>
        <w:rPr>
          <w:lang w:val="en-AU"/>
        </w:rPr>
        <w:t xml:space="preserve"> grasp</w:t>
      </w:r>
    </w:p>
    <w:p w14:paraId="78672A18" w14:textId="5719A1A9" w:rsidR="0032149A" w:rsidRPr="00554E3E" w:rsidRDefault="0032149A" w:rsidP="00BB440E">
      <w:pPr>
        <w:widowControl w:val="0"/>
        <w:suppressAutoHyphens/>
        <w:autoSpaceDE w:val="0"/>
        <w:autoSpaceDN w:val="0"/>
        <w:adjustRightInd w:val="0"/>
        <w:spacing w:after="60" w:line="276" w:lineRule="auto"/>
        <w:jc w:val="both"/>
        <w:textAlignment w:val="center"/>
        <w:rPr>
          <w:rFonts w:cstheme="minorHAnsi"/>
          <w:color w:val="000000"/>
          <w:spacing w:val="3"/>
          <w:szCs w:val="22"/>
          <w:lang w:eastAsia="ja-JP"/>
        </w:rPr>
      </w:pPr>
      <w:r w:rsidRPr="00554E3E">
        <w:rPr>
          <w:rFonts w:cstheme="minorHAnsi"/>
          <w:color w:val="000000"/>
          <w:spacing w:val="3"/>
          <w:szCs w:val="22"/>
          <w:lang w:eastAsia="ja-JP"/>
        </w:rPr>
        <w:t>A pen</w:t>
      </w:r>
      <w:r w:rsidR="002F0E2F">
        <w:rPr>
          <w:rFonts w:cstheme="minorHAnsi"/>
          <w:color w:val="000000"/>
          <w:spacing w:val="3"/>
          <w:szCs w:val="22"/>
          <w:lang w:eastAsia="ja-JP"/>
        </w:rPr>
        <w:t>cil</w:t>
      </w:r>
      <w:r w:rsidRPr="00554E3E">
        <w:rPr>
          <w:rFonts w:cstheme="minorHAnsi"/>
          <w:color w:val="000000"/>
          <w:spacing w:val="3"/>
          <w:szCs w:val="22"/>
          <w:lang w:eastAsia="ja-JP"/>
        </w:rPr>
        <w:t xml:space="preserve"> gr</w:t>
      </w:r>
      <w:r>
        <w:rPr>
          <w:rFonts w:cstheme="minorHAnsi"/>
          <w:color w:val="000000"/>
          <w:spacing w:val="3"/>
          <w:szCs w:val="22"/>
          <w:lang w:eastAsia="ja-JP"/>
        </w:rPr>
        <w:t>asp</w:t>
      </w:r>
      <w:r w:rsidRPr="00554E3E">
        <w:rPr>
          <w:rFonts w:cstheme="minorHAnsi"/>
          <w:color w:val="000000"/>
          <w:spacing w:val="3"/>
          <w:szCs w:val="22"/>
          <w:lang w:eastAsia="ja-JP"/>
        </w:rPr>
        <w:t xml:space="preserve"> needs to allow for maximum finger movement and control of the writing implement. Most ‘natural’ gr</w:t>
      </w:r>
      <w:r>
        <w:rPr>
          <w:rFonts w:cstheme="minorHAnsi"/>
          <w:color w:val="000000"/>
          <w:spacing w:val="3"/>
          <w:szCs w:val="22"/>
          <w:lang w:eastAsia="ja-JP"/>
        </w:rPr>
        <w:t>as</w:t>
      </w:r>
      <w:r w:rsidRPr="00554E3E">
        <w:rPr>
          <w:rFonts w:cstheme="minorHAnsi"/>
          <w:color w:val="000000"/>
          <w:spacing w:val="3"/>
          <w:szCs w:val="22"/>
          <w:lang w:eastAsia="ja-JP"/>
        </w:rPr>
        <w:t>ps are for holding rather than for manipulation, using fine motor coordination, so young children must be taught an effective pen</w:t>
      </w:r>
      <w:r w:rsidR="002F0E2F">
        <w:rPr>
          <w:rFonts w:cstheme="minorHAnsi"/>
          <w:color w:val="000000"/>
          <w:spacing w:val="3"/>
          <w:szCs w:val="22"/>
          <w:lang w:eastAsia="ja-JP"/>
        </w:rPr>
        <w:t>cil</w:t>
      </w:r>
      <w:r w:rsidRPr="00554E3E">
        <w:rPr>
          <w:rFonts w:cstheme="minorHAnsi"/>
          <w:color w:val="000000"/>
          <w:spacing w:val="3"/>
          <w:szCs w:val="22"/>
          <w:lang w:eastAsia="ja-JP"/>
        </w:rPr>
        <w:t xml:space="preserve"> </w:t>
      </w:r>
      <w:r>
        <w:rPr>
          <w:rFonts w:cstheme="minorHAnsi"/>
          <w:color w:val="000000"/>
          <w:spacing w:val="3"/>
          <w:szCs w:val="22"/>
          <w:lang w:eastAsia="ja-JP"/>
        </w:rPr>
        <w:t>grasp</w:t>
      </w:r>
      <w:r w:rsidRPr="00554E3E">
        <w:rPr>
          <w:rFonts w:cstheme="minorHAnsi"/>
          <w:color w:val="000000"/>
          <w:spacing w:val="3"/>
          <w:szCs w:val="22"/>
          <w:lang w:eastAsia="ja-JP"/>
        </w:rPr>
        <w:t xml:space="preserve"> which provides precision and flexibility of movement.</w:t>
      </w:r>
    </w:p>
    <w:p w14:paraId="219BA247" w14:textId="4C6AA760" w:rsidR="00AD52A5" w:rsidRDefault="00AD52A5" w:rsidP="0032149A">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r>
        <w:rPr>
          <w:rFonts w:cstheme="minorHAnsi"/>
          <w:noProof/>
          <w:color w:val="000000"/>
          <w:spacing w:val="3"/>
          <w:szCs w:val="22"/>
          <w:lang w:val="en-AU" w:eastAsia="en-AU"/>
        </w:rPr>
        <w:drawing>
          <wp:anchor distT="0" distB="0" distL="114300" distR="114300" simplePos="0" relativeHeight="251657216" behindDoc="1" locked="0" layoutInCell="1" allowOverlap="1" wp14:anchorId="71141DCD" wp14:editId="45FB3672">
            <wp:simplePos x="0" y="0"/>
            <wp:positionH relativeFrom="column">
              <wp:posOffset>165735</wp:posOffset>
            </wp:positionH>
            <wp:positionV relativeFrom="paragraph">
              <wp:posOffset>351790</wp:posOffset>
            </wp:positionV>
            <wp:extent cx="3022600" cy="3038475"/>
            <wp:effectExtent l="0" t="0" r="6350" b="9525"/>
            <wp:wrapTight wrapText="bothSides">
              <wp:wrapPolygon edited="0">
                <wp:start x="8985" y="0"/>
                <wp:lineTo x="7760" y="135"/>
                <wp:lineTo x="3812" y="1761"/>
                <wp:lineTo x="3676" y="2302"/>
                <wp:lineTo x="1770" y="4334"/>
                <wp:lineTo x="545" y="6500"/>
                <wp:lineTo x="0" y="8396"/>
                <wp:lineTo x="0" y="13001"/>
                <wp:lineTo x="545" y="15167"/>
                <wp:lineTo x="1770" y="17334"/>
                <wp:lineTo x="3948" y="19501"/>
                <wp:lineTo x="4084" y="19907"/>
                <wp:lineTo x="8304" y="21532"/>
                <wp:lineTo x="9257" y="21532"/>
                <wp:lineTo x="12116" y="21532"/>
                <wp:lineTo x="13069" y="21532"/>
                <wp:lineTo x="17425" y="19907"/>
                <wp:lineTo x="17561" y="19501"/>
                <wp:lineTo x="19739" y="17334"/>
                <wp:lineTo x="20829" y="15167"/>
                <wp:lineTo x="21509" y="13001"/>
                <wp:lineTo x="21509" y="8532"/>
                <wp:lineTo x="20965" y="6500"/>
                <wp:lineTo x="19739" y="4334"/>
                <wp:lineTo x="17834" y="2302"/>
                <wp:lineTo x="17697" y="1761"/>
                <wp:lineTo x="13886" y="135"/>
                <wp:lineTo x="12524" y="0"/>
                <wp:lineTo x="8985" y="0"/>
              </wp:wrapPolygon>
            </wp:wrapTight>
            <wp:docPr id="76" name="Picture 74" descr="Pen grip, Victorian Modern Cursive Alphabet (A-Z), photo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2600" cy="3038475"/>
                    </a:xfrm>
                    <a:prstGeom prst="rect">
                      <a:avLst/>
                    </a:prstGeom>
                    <a:noFill/>
                    <a:ln>
                      <a:noFill/>
                    </a:ln>
                  </pic:spPr>
                </pic:pic>
              </a:graphicData>
            </a:graphic>
          </wp:anchor>
        </w:drawing>
      </w:r>
      <w:r w:rsidR="0032149A" w:rsidRPr="00554E3E">
        <w:rPr>
          <w:rFonts w:cstheme="minorHAnsi"/>
          <w:color w:val="000000"/>
          <w:spacing w:val="3"/>
          <w:szCs w:val="22"/>
          <w:lang w:eastAsia="ja-JP"/>
        </w:rPr>
        <w:t>A preschool child will sometimes scribble and draw pictures without the forearm or hand touching the writing surface.</w:t>
      </w:r>
    </w:p>
    <w:p w14:paraId="6C066CBA" w14:textId="16E78F21" w:rsidR="0032149A" w:rsidRDefault="0032149A" w:rsidP="0032149A">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p>
    <w:p w14:paraId="4D861ACC" w14:textId="77777777" w:rsidR="0032149A" w:rsidRDefault="0032149A" w:rsidP="0032149A">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p>
    <w:p w14:paraId="2CBEEE6F" w14:textId="77777777" w:rsidR="0032149A" w:rsidRDefault="0032149A" w:rsidP="0032149A">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p>
    <w:p w14:paraId="33CDE880" w14:textId="77777777" w:rsidR="0032149A" w:rsidRDefault="0032149A" w:rsidP="0032149A">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p>
    <w:p w14:paraId="7D5D379C" w14:textId="77777777" w:rsidR="0032149A" w:rsidRDefault="0032149A" w:rsidP="0032149A">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p>
    <w:p w14:paraId="7C2B55F4" w14:textId="77777777" w:rsidR="0032149A" w:rsidRDefault="0032149A" w:rsidP="0032149A">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p>
    <w:p w14:paraId="258D5C44" w14:textId="77777777" w:rsidR="0032149A" w:rsidRDefault="0032149A" w:rsidP="0032149A">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p>
    <w:p w14:paraId="3B196276" w14:textId="77777777" w:rsidR="0032149A" w:rsidRDefault="0032149A" w:rsidP="0032149A">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p>
    <w:p w14:paraId="57E326D3" w14:textId="77777777" w:rsidR="0032149A" w:rsidRDefault="0032149A" w:rsidP="0032149A">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p>
    <w:p w14:paraId="40556450" w14:textId="77777777" w:rsidR="0032149A" w:rsidRDefault="0032149A" w:rsidP="0032149A">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p>
    <w:p w14:paraId="4D4E8C49" w14:textId="77777777" w:rsidR="0032149A" w:rsidRDefault="0032149A" w:rsidP="007C6976">
      <w:pPr>
        <w:widowControl w:val="0"/>
        <w:suppressAutoHyphens/>
        <w:autoSpaceDE w:val="0"/>
        <w:autoSpaceDN w:val="0"/>
        <w:adjustRightInd w:val="0"/>
        <w:spacing w:after="240" w:line="276" w:lineRule="auto"/>
        <w:jc w:val="both"/>
        <w:textAlignment w:val="center"/>
        <w:rPr>
          <w:rFonts w:cstheme="minorHAnsi"/>
          <w:color w:val="000000"/>
          <w:spacing w:val="3"/>
          <w:szCs w:val="22"/>
          <w:lang w:eastAsia="ja-JP"/>
        </w:rPr>
      </w:pPr>
    </w:p>
    <w:p w14:paraId="504467D2" w14:textId="6D8FEBB0" w:rsidR="0032149A" w:rsidRDefault="00AD52A5"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Pr>
          <w:rFonts w:ascii="Arial" w:hAnsi="Arial" w:cs="Arial"/>
          <w:noProof/>
          <w:color w:val="000000"/>
          <w:spacing w:val="3"/>
          <w:szCs w:val="22"/>
          <w:lang w:val="en-AU" w:eastAsia="en-AU"/>
        </w:rPr>
        <w:drawing>
          <wp:anchor distT="0" distB="0" distL="114300" distR="114300" simplePos="0" relativeHeight="251659264" behindDoc="1" locked="0" layoutInCell="1" allowOverlap="1" wp14:anchorId="38C966D8" wp14:editId="53B4DFFF">
            <wp:simplePos x="0" y="0"/>
            <wp:positionH relativeFrom="column">
              <wp:posOffset>118110</wp:posOffset>
            </wp:positionH>
            <wp:positionV relativeFrom="paragraph">
              <wp:posOffset>628650</wp:posOffset>
            </wp:positionV>
            <wp:extent cx="3022600" cy="3038475"/>
            <wp:effectExtent l="0" t="0" r="6350" b="9525"/>
            <wp:wrapTight wrapText="bothSides">
              <wp:wrapPolygon edited="0">
                <wp:start x="8985" y="0"/>
                <wp:lineTo x="7760" y="135"/>
                <wp:lineTo x="3812" y="1761"/>
                <wp:lineTo x="3676" y="2302"/>
                <wp:lineTo x="1770" y="4334"/>
                <wp:lineTo x="545" y="6500"/>
                <wp:lineTo x="0" y="8396"/>
                <wp:lineTo x="0" y="13001"/>
                <wp:lineTo x="545" y="15167"/>
                <wp:lineTo x="1770" y="17334"/>
                <wp:lineTo x="3948" y="19501"/>
                <wp:lineTo x="4084" y="19907"/>
                <wp:lineTo x="8304" y="21532"/>
                <wp:lineTo x="9257" y="21532"/>
                <wp:lineTo x="12116" y="21532"/>
                <wp:lineTo x="13069" y="21532"/>
                <wp:lineTo x="17425" y="19907"/>
                <wp:lineTo x="17561" y="19501"/>
                <wp:lineTo x="19739" y="17334"/>
                <wp:lineTo x="20829" y="15167"/>
                <wp:lineTo x="21509" y="13001"/>
                <wp:lineTo x="21509" y="8532"/>
                <wp:lineTo x="20965" y="6500"/>
                <wp:lineTo x="19739" y="4334"/>
                <wp:lineTo x="17834" y="2302"/>
                <wp:lineTo x="17697" y="1761"/>
                <wp:lineTo x="13886" y="135"/>
                <wp:lineTo x="12524" y="0"/>
                <wp:lineTo x="8985" y="0"/>
              </wp:wrapPolygon>
            </wp:wrapTight>
            <wp:docPr id="77" name="Picture 75" descr="Pen grip, Victorian Modern Cursive Alphabet (A-Z), photo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2600" cy="3038475"/>
                    </a:xfrm>
                    <a:prstGeom prst="rect">
                      <a:avLst/>
                    </a:prstGeom>
                    <a:noFill/>
                    <a:ln>
                      <a:noFill/>
                    </a:ln>
                  </pic:spPr>
                </pic:pic>
              </a:graphicData>
            </a:graphic>
          </wp:anchor>
        </w:drawing>
      </w:r>
      <w:r w:rsidR="0032149A" w:rsidRPr="00554E3E">
        <w:rPr>
          <w:rFonts w:cstheme="minorHAnsi"/>
          <w:color w:val="000000"/>
          <w:spacing w:val="3"/>
          <w:szCs w:val="22"/>
          <w:lang w:eastAsia="ja-JP"/>
        </w:rPr>
        <w:t>As a child becomes more experienced in the use of pen and paper, they begin to use the forearm as a support when writing; however, the hand may be kept quite flat. They can be</w:t>
      </w:r>
      <w:r w:rsidR="0032149A" w:rsidRPr="00162E30">
        <w:rPr>
          <w:rFonts w:ascii="Arial" w:hAnsi="Arial" w:cs="Arial"/>
          <w:color w:val="000000"/>
          <w:spacing w:val="3"/>
          <w:szCs w:val="22"/>
          <w:lang w:eastAsia="ja-JP"/>
        </w:rPr>
        <w:t xml:space="preserve"> </w:t>
      </w:r>
      <w:r w:rsidR="0032149A">
        <w:rPr>
          <w:rFonts w:ascii="Arial" w:hAnsi="Arial" w:cs="Arial"/>
          <w:color w:val="000000"/>
          <w:spacing w:val="3"/>
          <w:szCs w:val="22"/>
          <w:lang w:eastAsia="ja-JP"/>
        </w:rPr>
        <w:t>encouraged to use their non-writing hand to hold the paper.</w:t>
      </w:r>
    </w:p>
    <w:p w14:paraId="6B4FBC87"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6D006DB1"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447D19CF"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0E53F371"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45AEF657"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642D3B99"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36544E2D"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5B47D5E9"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6DE62302"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30D9FBFD"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35A4E0EB"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7CE0B976" w14:textId="77777777" w:rsidR="002F0E2F" w:rsidRDefault="002F0E2F"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135873A6" w14:textId="6CB07E6A"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Pr>
          <w:rFonts w:ascii="Arial" w:hAnsi="Arial" w:cs="Arial"/>
          <w:color w:val="000000"/>
          <w:spacing w:val="3"/>
          <w:szCs w:val="22"/>
          <w:lang w:eastAsia="ja-JP"/>
        </w:rPr>
        <w:lastRenderedPageBreak/>
        <w:t xml:space="preserve">With </w:t>
      </w:r>
      <w:r w:rsidRPr="00162E30">
        <w:rPr>
          <w:rFonts w:ascii="Arial" w:hAnsi="Arial" w:cs="Arial"/>
          <w:color w:val="000000"/>
          <w:spacing w:val="3"/>
          <w:szCs w:val="22"/>
          <w:lang w:eastAsia="ja-JP"/>
        </w:rPr>
        <w:t>encouragement and practice the child learns to use the correct pen</w:t>
      </w:r>
      <w:r w:rsidR="002F0E2F">
        <w:rPr>
          <w:rFonts w:ascii="Arial" w:hAnsi="Arial" w:cs="Arial"/>
          <w:color w:val="000000"/>
          <w:spacing w:val="3"/>
          <w:szCs w:val="22"/>
          <w:lang w:eastAsia="ja-JP"/>
        </w:rPr>
        <w:t>cil</w:t>
      </w:r>
      <w:r w:rsidRPr="00162E30">
        <w:rPr>
          <w:rFonts w:ascii="Arial" w:hAnsi="Arial" w:cs="Arial"/>
          <w:color w:val="000000"/>
          <w:spacing w:val="3"/>
          <w:szCs w:val="22"/>
          <w:lang w:eastAsia="ja-JP"/>
        </w:rPr>
        <w:t xml:space="preserve"> presentation with the forearm supported by the writing surface and the writing hand turned on its side so that the outer edge of the hand rests on the table. The writing gr</w:t>
      </w:r>
      <w:r>
        <w:rPr>
          <w:rFonts w:ascii="Arial" w:hAnsi="Arial" w:cs="Arial"/>
          <w:color w:val="000000"/>
          <w:spacing w:val="3"/>
          <w:szCs w:val="22"/>
          <w:lang w:eastAsia="ja-JP"/>
        </w:rPr>
        <w:t>as</w:t>
      </w:r>
      <w:r w:rsidRPr="00162E30">
        <w:rPr>
          <w:rFonts w:ascii="Arial" w:hAnsi="Arial" w:cs="Arial"/>
          <w:color w:val="000000"/>
          <w:spacing w:val="3"/>
          <w:szCs w:val="22"/>
          <w:lang w:eastAsia="ja-JP"/>
        </w:rPr>
        <w:t>p gradually becomes less rigid until the pad of the index finger, the edge of the tip of the middle finger and the pad of the thumb control the implement flexibly.</w:t>
      </w:r>
    </w:p>
    <w:p w14:paraId="43596918" w14:textId="77777777" w:rsidR="0032149A" w:rsidRPr="00025073" w:rsidRDefault="0032149A" w:rsidP="0032149A">
      <w:pPr>
        <w:widowControl w:val="0"/>
        <w:suppressAutoHyphens/>
        <w:autoSpaceDE w:val="0"/>
        <w:autoSpaceDN w:val="0"/>
        <w:adjustRightInd w:val="0"/>
        <w:spacing w:line="276" w:lineRule="auto"/>
        <w:jc w:val="both"/>
        <w:textAlignment w:val="center"/>
        <w:rPr>
          <w:rFonts w:cstheme="minorHAnsi"/>
          <w:b/>
          <w:bCs/>
          <w:color w:val="000000"/>
          <w:spacing w:val="3"/>
          <w:szCs w:val="22"/>
          <w:lang w:eastAsia="ja-JP"/>
        </w:rPr>
      </w:pPr>
      <w:r w:rsidRPr="00025073">
        <w:rPr>
          <w:rFonts w:ascii="Arial" w:hAnsi="Arial" w:cs="Arial"/>
          <w:b/>
          <w:bCs/>
          <w:color w:val="000000"/>
          <w:spacing w:val="3"/>
          <w:szCs w:val="22"/>
          <w:lang w:eastAsia="ja-JP"/>
        </w:rPr>
        <w:t>Implements to support the development of a mature pencil grasp</w:t>
      </w:r>
    </w:p>
    <w:p w14:paraId="582183A0" w14:textId="77777777" w:rsidR="0032149A" w:rsidRPr="00AD52A5" w:rsidRDefault="0032149A" w:rsidP="00AD52A5">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AD52A5">
        <w:rPr>
          <w:rFonts w:ascii="Arial" w:hAnsi="Arial" w:cs="Arial"/>
          <w:color w:val="000000"/>
          <w:spacing w:val="3"/>
          <w:szCs w:val="22"/>
          <w:lang w:eastAsia="ja-JP"/>
        </w:rPr>
        <w:t xml:space="preserve">“Younger children may prefer pencils with a large diameter as they are easier for them to hold, and triangle pencils can promote the development of a mature grasp. Soft lead pencils (e.g. 2B) is also recommended for early learners and left-handed learners, as they prevent the point digging into the page. In contrast, pencils with a thinner diameter encourage greater refinement of movements. Pencils with raised dots, indents, grooves and built in grips encourage the development of a mature pencil grasp.” (Mackenzie &amp; Spokes, in press) </w:t>
      </w:r>
    </w:p>
    <w:p w14:paraId="1EA0183D" w14:textId="77777777" w:rsidR="0032149A" w:rsidRPr="009214DC" w:rsidRDefault="0032149A" w:rsidP="0032149A">
      <w:pPr>
        <w:widowControl w:val="0"/>
        <w:suppressAutoHyphens/>
        <w:autoSpaceDE w:val="0"/>
        <w:autoSpaceDN w:val="0"/>
        <w:adjustRightInd w:val="0"/>
        <w:spacing w:line="276" w:lineRule="auto"/>
        <w:jc w:val="both"/>
        <w:textAlignment w:val="center"/>
        <w:rPr>
          <w:rFonts w:cstheme="minorHAnsi"/>
          <w:b/>
          <w:bCs/>
          <w:color w:val="000000"/>
          <w:spacing w:val="3"/>
          <w:szCs w:val="22"/>
          <w:lang w:eastAsia="ja-JP"/>
        </w:rPr>
      </w:pPr>
      <w:r w:rsidRPr="009214DC">
        <w:rPr>
          <w:rFonts w:cstheme="minorHAnsi"/>
          <w:b/>
          <w:bCs/>
          <w:color w:val="000000"/>
          <w:spacing w:val="3"/>
          <w:szCs w:val="22"/>
          <w:lang w:eastAsia="ja-JP"/>
        </w:rPr>
        <w:t>Developing a mature pencil grasp</w:t>
      </w:r>
    </w:p>
    <w:p w14:paraId="7ECE9374" w14:textId="77777777" w:rsidR="0032149A" w:rsidRPr="009214DC" w:rsidRDefault="0032149A" w:rsidP="0032149A">
      <w:pPr>
        <w:pStyle w:val="CommentText"/>
        <w:spacing w:line="276" w:lineRule="auto"/>
        <w:rPr>
          <w:rFonts w:cstheme="minorHAnsi"/>
          <w:sz w:val="22"/>
          <w:szCs w:val="22"/>
        </w:rPr>
      </w:pPr>
      <w:r w:rsidRPr="009214DC">
        <w:rPr>
          <w:rFonts w:cstheme="minorHAnsi"/>
          <w:sz w:val="22"/>
          <w:szCs w:val="22"/>
        </w:rPr>
        <w:t xml:space="preserve">‘The challenge in the classroom is to avoid inefficient pencil grasps and related postures becoming habitual. It is, therefore important that through modelling, direct instruction and close monitoring, teachers help children to develop and refine their pencil grasp to avoid long term hand or arm injuries’ (Mackenzie &amp; Spokes, in press).  </w:t>
      </w:r>
    </w:p>
    <w:p w14:paraId="37B2C35B" w14:textId="7F20E0DA" w:rsidR="0032149A" w:rsidRPr="009214DC" w:rsidRDefault="0032149A" w:rsidP="00FC1D36">
      <w:pPr>
        <w:widowControl w:val="0"/>
        <w:suppressAutoHyphens/>
        <w:autoSpaceDE w:val="0"/>
        <w:autoSpaceDN w:val="0"/>
        <w:adjustRightInd w:val="0"/>
        <w:spacing w:line="276" w:lineRule="auto"/>
        <w:jc w:val="both"/>
        <w:textAlignment w:val="center"/>
        <w:rPr>
          <w:rFonts w:cstheme="minorHAnsi"/>
          <w:szCs w:val="22"/>
        </w:rPr>
      </w:pPr>
      <w:r w:rsidRPr="009214DC">
        <w:rPr>
          <w:rFonts w:cstheme="minorHAnsi"/>
          <w:szCs w:val="22"/>
        </w:rPr>
        <w:t>A mature pencil grasp balances stability and the ability to manipulate the pencil with finger-based movements,(Mackenzie &amp; Spokes, 2024). Some children will begin to develop a mature pencil grasp as young as four years of age, while other children will not be developmentally ready to begin using a mature grasp until somewhere between the ages of five and seven years (</w:t>
      </w:r>
      <w:r w:rsidRPr="009214DC">
        <w:rPr>
          <w:rStyle w:val="citation"/>
          <w:rFonts w:asciiTheme="minorHAnsi" w:hAnsiTheme="minorHAnsi" w:cstheme="minorHAnsi"/>
          <w:sz w:val="22"/>
          <w:szCs w:val="22"/>
        </w:rPr>
        <w:t>Schneck &amp; Henderson, 1990</w:t>
      </w:r>
      <w:r w:rsidRPr="009214DC">
        <w:rPr>
          <w:rFonts w:cstheme="minorHAnsi"/>
          <w:szCs w:val="22"/>
        </w:rPr>
        <w:t xml:space="preserve">; </w:t>
      </w:r>
      <w:r w:rsidRPr="009214DC">
        <w:rPr>
          <w:rStyle w:val="citation"/>
          <w:rFonts w:asciiTheme="minorHAnsi" w:hAnsiTheme="minorHAnsi" w:cstheme="minorHAnsi"/>
          <w:sz w:val="22"/>
          <w:szCs w:val="22"/>
        </w:rPr>
        <w:t>Tseng, 1998</w:t>
      </w:r>
      <w:r w:rsidRPr="009214DC">
        <w:rPr>
          <w:rFonts w:cstheme="minorHAnsi"/>
          <w:szCs w:val="22"/>
        </w:rPr>
        <w:t xml:space="preserve">). </w:t>
      </w:r>
    </w:p>
    <w:p w14:paraId="5FFD3BFE" w14:textId="77777777" w:rsidR="0032149A" w:rsidRPr="009214DC" w:rsidRDefault="0032149A" w:rsidP="00FC1D36">
      <w:pPr>
        <w:pStyle w:val="BodyText"/>
        <w:spacing w:after="120" w:line="240" w:lineRule="auto"/>
        <w:rPr>
          <w:rFonts w:asciiTheme="minorHAnsi" w:hAnsiTheme="minorHAnsi" w:cstheme="minorHAnsi"/>
          <w:sz w:val="22"/>
          <w:szCs w:val="22"/>
          <w:u w:val="single"/>
        </w:rPr>
      </w:pPr>
      <w:r w:rsidRPr="009214DC">
        <w:rPr>
          <w:rFonts w:asciiTheme="minorHAnsi" w:hAnsiTheme="minorHAnsi" w:cstheme="minorHAnsi"/>
          <w:sz w:val="22"/>
          <w:szCs w:val="22"/>
          <w:u w:val="single"/>
        </w:rPr>
        <w:t>The Dynamic tripod pencil grasp</w:t>
      </w:r>
    </w:p>
    <w:p w14:paraId="67884756" w14:textId="77777777" w:rsidR="0032149A" w:rsidRPr="009214DC" w:rsidRDefault="0032149A" w:rsidP="0032149A">
      <w:pPr>
        <w:pStyle w:val="CommentText"/>
        <w:spacing w:line="276" w:lineRule="auto"/>
        <w:rPr>
          <w:rFonts w:cstheme="minorHAnsi"/>
          <w:sz w:val="22"/>
          <w:szCs w:val="22"/>
        </w:rPr>
      </w:pPr>
      <w:r w:rsidRPr="009214DC">
        <w:rPr>
          <w:rFonts w:cstheme="minorHAnsi"/>
          <w:sz w:val="22"/>
          <w:szCs w:val="22"/>
        </w:rPr>
        <w:t xml:space="preserve">When it comes to mature pencil grasps, the most common pencil grasp observed in the classroom is the </w:t>
      </w:r>
      <w:r w:rsidRPr="009214DC">
        <w:rPr>
          <w:rFonts w:cstheme="minorHAnsi"/>
          <w:sz w:val="22"/>
          <w:szCs w:val="22"/>
          <w:u w:val="single"/>
        </w:rPr>
        <w:t>dynamic tripod pencil grasp</w:t>
      </w:r>
      <w:r w:rsidRPr="009214DC">
        <w:rPr>
          <w:rFonts w:cstheme="minorHAnsi"/>
          <w:sz w:val="22"/>
          <w:szCs w:val="22"/>
        </w:rPr>
        <w:t xml:space="preserve"> (</w:t>
      </w:r>
      <w:r w:rsidRPr="009214DC">
        <w:rPr>
          <w:rStyle w:val="citation"/>
          <w:rFonts w:asciiTheme="minorHAnsi" w:hAnsiTheme="minorHAnsi" w:cstheme="minorHAnsi"/>
          <w:sz w:val="22"/>
          <w:szCs w:val="22"/>
        </w:rPr>
        <w:t>Schneck &amp; Henderson, 1990</w:t>
      </w:r>
      <w:r w:rsidRPr="009214DC">
        <w:rPr>
          <w:rFonts w:cstheme="minorHAnsi"/>
          <w:sz w:val="22"/>
          <w:szCs w:val="22"/>
        </w:rPr>
        <w:t xml:space="preserve">). This pencil grasp provides the best balance between finger stability and finger mobilisation by resting the pencil on the side of the first joint of the middle finger while holding the pencil with the thumb and index finger. </w:t>
      </w:r>
      <w:r w:rsidRPr="009214DC">
        <w:rPr>
          <w:rFonts w:cstheme="minorHAnsi"/>
          <w:color w:val="000000"/>
          <w:spacing w:val="3"/>
          <w:sz w:val="22"/>
          <w:szCs w:val="22"/>
          <w:lang w:eastAsia="ja-JP"/>
        </w:rPr>
        <w:t>The hand forms a question mark shape with the index finger approximately two centimetres from the point of the pencil. The dynamic tripod grasp can usually be developed between the ages of four and six, although sometimes it may take until age seven or eight. Teachers and parents can monitor the development of students’ pen grasp. Teachers will be aware that variations may arise due to individual differences in size of hand, length of fingers or the demands of a particular writing instrument.</w:t>
      </w:r>
    </w:p>
    <w:p w14:paraId="5F5DA86F" w14:textId="77777777" w:rsidR="0032149A" w:rsidRPr="00162E30"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162E30">
        <w:rPr>
          <w:rFonts w:ascii="Arial" w:hAnsi="Arial" w:cs="Arial"/>
          <w:noProof/>
          <w:color w:val="000000"/>
          <w:spacing w:val="3"/>
          <w:szCs w:val="22"/>
          <w:lang w:val="en-AU" w:eastAsia="en-AU"/>
        </w:rPr>
        <w:lastRenderedPageBreak/>
        <w:drawing>
          <wp:inline distT="0" distB="0" distL="0" distR="0" wp14:anchorId="111FB80E" wp14:editId="08E4B354">
            <wp:extent cx="2247900" cy="2006600"/>
            <wp:effectExtent l="0" t="0" r="0" b="0"/>
            <wp:docPr id="78" name="Picture 76" descr="Pen grip, precision grip, left-hand, Victorian Modern Cursive Alphabet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2006600"/>
                    </a:xfrm>
                    <a:prstGeom prst="rect">
                      <a:avLst/>
                    </a:prstGeom>
                    <a:noFill/>
                    <a:ln>
                      <a:noFill/>
                    </a:ln>
                  </pic:spPr>
                </pic:pic>
              </a:graphicData>
            </a:graphic>
          </wp:inline>
        </w:drawing>
      </w:r>
      <w:r w:rsidRPr="00162E30">
        <w:rPr>
          <w:rFonts w:ascii="Arial" w:hAnsi="Arial" w:cs="Arial"/>
          <w:noProof/>
          <w:color w:val="000000"/>
          <w:spacing w:val="3"/>
          <w:szCs w:val="22"/>
          <w:lang w:val="en-AU" w:eastAsia="en-AU"/>
        </w:rPr>
        <w:drawing>
          <wp:inline distT="0" distB="0" distL="0" distR="0" wp14:anchorId="48C04082" wp14:editId="12778E66">
            <wp:extent cx="2247900" cy="2006600"/>
            <wp:effectExtent l="0" t="0" r="0" b="0"/>
            <wp:docPr id="79" name="Picture 77" descr="Pen grip, precision grip, right-hand, Victorian Modern Cursive Alphabet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006600"/>
                    </a:xfrm>
                    <a:prstGeom prst="rect">
                      <a:avLst/>
                    </a:prstGeom>
                    <a:noFill/>
                    <a:ln>
                      <a:noFill/>
                    </a:ln>
                  </pic:spPr>
                </pic:pic>
              </a:graphicData>
            </a:graphic>
          </wp:inline>
        </w:drawing>
      </w:r>
    </w:p>
    <w:p w14:paraId="27138EF4" w14:textId="77777777" w:rsidR="0032149A" w:rsidRDefault="0032149A" w:rsidP="0032149A">
      <w:pPr>
        <w:pStyle w:val="BodyTextIndent"/>
        <w:spacing w:line="276" w:lineRule="auto"/>
        <w:ind w:left="0"/>
        <w:rPr>
          <w:rFonts w:cstheme="minorHAnsi"/>
          <w:szCs w:val="22"/>
          <w:lang w:val="en-US"/>
        </w:rPr>
      </w:pPr>
    </w:p>
    <w:p w14:paraId="61ABE41B" w14:textId="21B37065" w:rsidR="0032149A" w:rsidRPr="0059259F"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zCs w:val="22"/>
          <w:lang w:eastAsia="ja-JP"/>
        </w:rPr>
      </w:pPr>
      <w:r w:rsidRPr="00162E30">
        <w:rPr>
          <w:rFonts w:ascii="Arial" w:hAnsi="Arial" w:cs="Arial"/>
          <w:color w:val="000000"/>
          <w:spacing w:val="3"/>
          <w:szCs w:val="22"/>
          <w:lang w:eastAsia="ja-JP"/>
        </w:rPr>
        <w:t xml:space="preserve">For right-handers the barrel of the pencil rests against the long bone </w:t>
      </w:r>
      <w:r w:rsidRPr="00162E30">
        <w:rPr>
          <w:rFonts w:ascii="Arial" w:hAnsi="Arial" w:cs="Arial"/>
          <w:color w:val="000000"/>
          <w:szCs w:val="22"/>
          <w:lang w:eastAsia="ja-JP"/>
        </w:rPr>
        <w:t>of the index finger, rather than in the V between the finger and thumb.</w:t>
      </w:r>
    </w:p>
    <w:p w14:paraId="26294020" w14:textId="5B23BE3F"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162E30">
        <w:rPr>
          <w:rFonts w:ascii="Arial" w:hAnsi="Arial" w:cs="Arial"/>
          <w:color w:val="000000"/>
          <w:spacing w:val="3"/>
          <w:szCs w:val="22"/>
          <w:lang w:eastAsia="ja-JP"/>
        </w:rPr>
        <w:t>For left-handers, the pen</w:t>
      </w:r>
      <w:r w:rsidR="00865BD0">
        <w:rPr>
          <w:rFonts w:ascii="Arial" w:hAnsi="Arial" w:cs="Arial"/>
          <w:color w:val="000000"/>
          <w:spacing w:val="3"/>
          <w:szCs w:val="22"/>
          <w:lang w:eastAsia="ja-JP"/>
        </w:rPr>
        <w:t>cil</w:t>
      </w:r>
      <w:r w:rsidRPr="00162E30">
        <w:rPr>
          <w:rFonts w:ascii="Arial" w:hAnsi="Arial" w:cs="Arial"/>
          <w:color w:val="000000"/>
          <w:spacing w:val="3"/>
          <w:szCs w:val="22"/>
          <w:lang w:eastAsia="ja-JP"/>
        </w:rPr>
        <w:t xml:space="preserve"> gr</w:t>
      </w:r>
      <w:r w:rsidR="00865BD0">
        <w:rPr>
          <w:rFonts w:ascii="Arial" w:hAnsi="Arial" w:cs="Arial"/>
          <w:color w:val="000000"/>
          <w:spacing w:val="3"/>
          <w:szCs w:val="22"/>
          <w:lang w:eastAsia="ja-JP"/>
        </w:rPr>
        <w:t>as</w:t>
      </w:r>
      <w:r w:rsidRPr="00162E30">
        <w:rPr>
          <w:rFonts w:ascii="Arial" w:hAnsi="Arial" w:cs="Arial"/>
          <w:color w:val="000000"/>
          <w:spacing w:val="3"/>
          <w:szCs w:val="22"/>
          <w:lang w:eastAsia="ja-JP"/>
        </w:rPr>
        <w:t>p where the barrel of the pencil is held in the V between the finger and thumb or the web of the hand is more suitable.</w:t>
      </w:r>
    </w:p>
    <w:p w14:paraId="178DCA6B" w14:textId="77777777" w:rsidR="0032149A" w:rsidRPr="00025073" w:rsidRDefault="0032149A" w:rsidP="0032149A">
      <w:pPr>
        <w:pStyle w:val="BodyTextIndent"/>
        <w:spacing w:line="276" w:lineRule="auto"/>
        <w:ind w:left="0"/>
        <w:rPr>
          <w:rFonts w:cstheme="minorHAnsi"/>
          <w:b/>
          <w:bCs/>
          <w:szCs w:val="22"/>
          <w:lang w:val="en-US"/>
        </w:rPr>
      </w:pPr>
      <w:r w:rsidRPr="00025073">
        <w:rPr>
          <w:rFonts w:cstheme="minorHAnsi"/>
          <w:b/>
          <w:bCs/>
          <w:szCs w:val="22"/>
          <w:lang w:val="en-US"/>
        </w:rPr>
        <w:t>Alternate pencil grasps</w:t>
      </w:r>
    </w:p>
    <w:p w14:paraId="359B2697" w14:textId="77777777" w:rsidR="0032149A" w:rsidRDefault="0032149A" w:rsidP="0032149A">
      <w:pPr>
        <w:pStyle w:val="BodyTextIndent"/>
        <w:spacing w:line="276" w:lineRule="auto"/>
        <w:ind w:left="0"/>
        <w:rPr>
          <w:rFonts w:cstheme="minorHAnsi"/>
          <w:szCs w:val="22"/>
        </w:rPr>
      </w:pPr>
      <w:r>
        <w:rPr>
          <w:rFonts w:cstheme="minorHAnsi"/>
          <w:szCs w:val="22"/>
          <w:lang w:val="en-US"/>
        </w:rPr>
        <w:t xml:space="preserve">A number of alternate pencil </w:t>
      </w:r>
      <w:r w:rsidRPr="00420EE3">
        <w:rPr>
          <w:rFonts w:cstheme="minorHAnsi"/>
          <w:szCs w:val="22"/>
        </w:rPr>
        <w:t xml:space="preserve">grasps have also been shown to facilitate the finger movements necessary to produce legible letters at functional speeds. What is important is that the student develops a functional grasp, that does not impact on the legibility and speed of their writing </w:t>
      </w:r>
      <w:r w:rsidRPr="00BB440E">
        <w:rPr>
          <w:rFonts w:cstheme="minorHAnsi"/>
          <w:szCs w:val="22"/>
        </w:rPr>
        <w:t>(</w:t>
      </w:r>
      <w:r w:rsidRPr="00BB440E">
        <w:rPr>
          <w:rStyle w:val="citation"/>
          <w:rFonts w:asciiTheme="minorHAnsi" w:hAnsiTheme="minorHAnsi" w:cstheme="minorHAnsi"/>
          <w:sz w:val="22"/>
          <w:szCs w:val="22"/>
        </w:rPr>
        <w:t>Schwellnus et al., 2012</w:t>
      </w:r>
      <w:r w:rsidRPr="00BB440E">
        <w:rPr>
          <w:rFonts w:cstheme="minorHAnsi"/>
          <w:szCs w:val="22"/>
        </w:rPr>
        <w:t xml:space="preserve">). </w:t>
      </w:r>
      <w:r w:rsidRPr="00BB440E">
        <w:rPr>
          <w:rFonts w:cstheme="minorHAnsi"/>
          <w:szCs w:val="22"/>
          <w:lang w:val="en-US"/>
        </w:rPr>
        <w:t>Schwellnus and</w:t>
      </w:r>
      <w:r w:rsidRPr="00420EE3">
        <w:rPr>
          <w:rFonts w:cstheme="minorHAnsi"/>
          <w:szCs w:val="22"/>
          <w:lang w:val="en-US"/>
        </w:rPr>
        <w:t xml:space="preserve"> colleagues suggest that “</w:t>
      </w:r>
      <w:r w:rsidRPr="00420EE3">
        <w:rPr>
          <w:rFonts w:cstheme="minorHAnsi"/>
          <w:szCs w:val="22"/>
        </w:rPr>
        <w:t>occupational therapy practitioners and educators may reconsider the need for changing a child’s pencil grasp when the child has adopted one of the four mature grasp patterns”</w:t>
      </w:r>
      <w:r w:rsidRPr="00420EE3">
        <w:rPr>
          <w:rFonts w:cstheme="minorHAnsi"/>
          <w:szCs w:val="22"/>
          <w:lang w:val="en-US"/>
        </w:rPr>
        <w:t xml:space="preserve"> (2012, p. 722).</w:t>
      </w:r>
      <w:r w:rsidRPr="00420EE3">
        <w:rPr>
          <w:rFonts w:cstheme="minorHAnsi"/>
          <w:szCs w:val="22"/>
        </w:rPr>
        <w:t xml:space="preserve"> </w:t>
      </w:r>
    </w:p>
    <w:p w14:paraId="1C243FC8" w14:textId="77777777" w:rsidR="0032149A" w:rsidRDefault="0032149A" w:rsidP="0032149A">
      <w:pPr>
        <w:pStyle w:val="BodyTextIndent"/>
        <w:spacing w:line="276" w:lineRule="auto"/>
        <w:ind w:left="0"/>
        <w:rPr>
          <w:rFonts w:cstheme="minorHAnsi"/>
          <w:szCs w:val="22"/>
        </w:rPr>
      </w:pPr>
      <w:r w:rsidRPr="00420EE3">
        <w:rPr>
          <w:rFonts w:cstheme="minorHAnsi"/>
          <w:noProof/>
          <w:szCs w:val="22"/>
        </w:rPr>
        <w:drawing>
          <wp:inline distT="0" distB="0" distL="0" distR="0" wp14:anchorId="0F9EAA5C" wp14:editId="54FA53F4">
            <wp:extent cx="3533775" cy="3190875"/>
            <wp:effectExtent l="0" t="0" r="9525" b="9525"/>
            <wp:docPr id="3234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3190875"/>
                    </a:xfrm>
                    <a:prstGeom prst="rect">
                      <a:avLst/>
                    </a:prstGeom>
                    <a:noFill/>
                    <a:ln>
                      <a:noFill/>
                    </a:ln>
                  </pic:spPr>
                </pic:pic>
              </a:graphicData>
            </a:graphic>
          </wp:inline>
        </w:drawing>
      </w:r>
    </w:p>
    <w:p w14:paraId="35AF95BA" w14:textId="77777777" w:rsidR="0032149A"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7BE0B8AA" w14:textId="5FB955EE" w:rsidR="0032149A" w:rsidRPr="0059259F" w:rsidRDefault="0032149A" w:rsidP="0059259F">
      <w:pPr>
        <w:pStyle w:val="BodyTextIndent"/>
        <w:spacing w:line="276" w:lineRule="auto"/>
        <w:ind w:left="0"/>
        <w:rPr>
          <w:rFonts w:cstheme="minorHAnsi"/>
          <w:szCs w:val="22"/>
        </w:rPr>
      </w:pPr>
      <w:r w:rsidRPr="00025073">
        <w:rPr>
          <w:rFonts w:cstheme="minorHAnsi"/>
          <w:szCs w:val="22"/>
        </w:rPr>
        <w:lastRenderedPageBreak/>
        <w:t>Left-handed</w:t>
      </w:r>
      <w:r w:rsidRPr="00420EE3">
        <w:rPr>
          <w:rFonts w:cstheme="minorHAnsi"/>
          <w:szCs w:val="22"/>
        </w:rPr>
        <w:t xml:space="preserve"> writers can also employ any one of the mature pencil grasps but in order that their writing is not obscured, </w:t>
      </w:r>
      <w:r>
        <w:rPr>
          <w:rFonts w:cstheme="minorHAnsi"/>
          <w:szCs w:val="22"/>
        </w:rPr>
        <w:t xml:space="preserve">teachers </w:t>
      </w:r>
      <w:r w:rsidRPr="00420EE3">
        <w:rPr>
          <w:rFonts w:cstheme="minorHAnsi"/>
          <w:szCs w:val="22"/>
        </w:rPr>
        <w:t>might consider asking the left-handed learner to hold the implement at least 3cm (a rubber band can mark the spot) from the tip, or use a commercial triangular implement grasp placed far enough up the barrel that the learner can see around his or her hand (Tas DECYP, 2023). They may also position their hand beneath the writing line with their wrist in greater extension, allowing them to see what they are writing and reducing the incidence of smudging their work as their hand glides across the page.</w:t>
      </w:r>
    </w:p>
    <w:p w14:paraId="77194572" w14:textId="2645B2D5" w:rsidR="0032149A" w:rsidRPr="005F6E44" w:rsidRDefault="0032149A" w:rsidP="0032149A">
      <w:pPr>
        <w:widowControl w:val="0"/>
        <w:suppressAutoHyphens/>
        <w:autoSpaceDE w:val="0"/>
        <w:autoSpaceDN w:val="0"/>
        <w:adjustRightInd w:val="0"/>
        <w:spacing w:line="276" w:lineRule="auto"/>
        <w:jc w:val="both"/>
        <w:textAlignment w:val="center"/>
        <w:rPr>
          <w:rFonts w:ascii="Arial" w:hAnsi="Arial" w:cs="Arial"/>
          <w:b/>
          <w:szCs w:val="22"/>
          <w:lang w:eastAsia="ja-JP"/>
        </w:rPr>
      </w:pPr>
      <w:r w:rsidRPr="005F6E44">
        <w:rPr>
          <w:rFonts w:ascii="Arial" w:hAnsi="Arial" w:cs="Arial"/>
          <w:b/>
          <w:spacing w:val="6"/>
          <w:szCs w:val="22"/>
          <w:lang w:eastAsia="ja-JP"/>
        </w:rPr>
        <w:t>Activities and exercises to help develop pen</w:t>
      </w:r>
      <w:r w:rsidR="0059259F">
        <w:rPr>
          <w:rFonts w:ascii="Arial" w:hAnsi="Arial" w:cs="Arial"/>
          <w:b/>
          <w:spacing w:val="6"/>
          <w:szCs w:val="22"/>
          <w:lang w:eastAsia="ja-JP"/>
        </w:rPr>
        <w:t>cil</w:t>
      </w:r>
      <w:r w:rsidRPr="005F6E44">
        <w:rPr>
          <w:rFonts w:ascii="Arial" w:hAnsi="Arial" w:cs="Arial"/>
          <w:b/>
          <w:spacing w:val="6"/>
          <w:szCs w:val="22"/>
          <w:lang w:eastAsia="ja-JP"/>
        </w:rPr>
        <w:t xml:space="preserve"> gr</w:t>
      </w:r>
      <w:r>
        <w:rPr>
          <w:rFonts w:ascii="Arial" w:hAnsi="Arial" w:cs="Arial"/>
          <w:b/>
          <w:spacing w:val="6"/>
          <w:szCs w:val="22"/>
          <w:lang w:eastAsia="ja-JP"/>
        </w:rPr>
        <w:t>as</w:t>
      </w:r>
      <w:r w:rsidRPr="005F6E44">
        <w:rPr>
          <w:rFonts w:ascii="Arial" w:hAnsi="Arial" w:cs="Arial"/>
          <w:b/>
          <w:spacing w:val="6"/>
          <w:szCs w:val="22"/>
          <w:lang w:eastAsia="ja-JP"/>
        </w:rPr>
        <w:t>p</w:t>
      </w:r>
    </w:p>
    <w:p w14:paraId="1F8A11A4" w14:textId="6C9894D0" w:rsidR="0032149A" w:rsidRPr="00162E30" w:rsidRDefault="0032149A" w:rsidP="0032149A">
      <w:pPr>
        <w:widowControl w:val="0"/>
        <w:suppressAutoHyphens/>
        <w:autoSpaceDE w:val="0"/>
        <w:autoSpaceDN w:val="0"/>
        <w:adjustRightInd w:val="0"/>
        <w:spacing w:line="276" w:lineRule="auto"/>
        <w:jc w:val="both"/>
        <w:textAlignment w:val="center"/>
        <w:rPr>
          <w:rFonts w:ascii="Arial" w:hAnsi="Arial" w:cs="Arial"/>
          <w:color w:val="000000"/>
          <w:szCs w:val="22"/>
          <w:lang w:eastAsia="ja-JP"/>
        </w:rPr>
      </w:pPr>
      <w:r w:rsidRPr="00162E30">
        <w:rPr>
          <w:rFonts w:ascii="Arial" w:hAnsi="Arial" w:cs="Arial"/>
          <w:color w:val="000000"/>
          <w:szCs w:val="22"/>
          <w:lang w:eastAsia="ja-JP"/>
        </w:rPr>
        <w:t xml:space="preserve">For beginning, emergent and early writers, finger plays (for example, ‘Where Is Thumbkin?’) can help raise awareness of the three fingers (thumb, index finger and middle finger) used to </w:t>
      </w:r>
      <w:r>
        <w:rPr>
          <w:rFonts w:ascii="Arial" w:hAnsi="Arial" w:cs="Arial"/>
          <w:color w:val="000000"/>
          <w:szCs w:val="22"/>
          <w:lang w:eastAsia="ja-JP"/>
        </w:rPr>
        <w:t xml:space="preserve">hold </w:t>
      </w:r>
      <w:r w:rsidRPr="00162E30">
        <w:rPr>
          <w:rFonts w:ascii="Arial" w:hAnsi="Arial" w:cs="Arial"/>
          <w:color w:val="000000"/>
          <w:szCs w:val="22"/>
          <w:lang w:eastAsia="ja-JP"/>
        </w:rPr>
        <w:t>the writing implement. In addition, pen gr</w:t>
      </w:r>
      <w:r>
        <w:rPr>
          <w:rFonts w:ascii="Arial" w:hAnsi="Arial" w:cs="Arial"/>
          <w:color w:val="000000"/>
          <w:szCs w:val="22"/>
          <w:lang w:eastAsia="ja-JP"/>
        </w:rPr>
        <w:t>as</w:t>
      </w:r>
      <w:r w:rsidRPr="00162E30">
        <w:rPr>
          <w:rFonts w:ascii="Arial" w:hAnsi="Arial" w:cs="Arial"/>
          <w:color w:val="000000"/>
          <w:szCs w:val="22"/>
          <w:lang w:eastAsia="ja-JP"/>
        </w:rPr>
        <w:t xml:space="preserve">p exercises – such as wriggling or rolling the pencil barrel while using </w:t>
      </w:r>
      <w:r>
        <w:rPr>
          <w:rFonts w:ascii="Arial" w:hAnsi="Arial" w:cs="Arial"/>
          <w:color w:val="000000"/>
          <w:szCs w:val="22"/>
          <w:lang w:eastAsia="ja-JP"/>
        </w:rPr>
        <w:t xml:space="preserve">a mature </w:t>
      </w:r>
      <w:r w:rsidRPr="00162E30">
        <w:rPr>
          <w:rFonts w:ascii="Arial" w:hAnsi="Arial" w:cs="Arial"/>
          <w:color w:val="000000"/>
          <w:szCs w:val="22"/>
          <w:lang w:eastAsia="ja-JP"/>
        </w:rPr>
        <w:t>gr</w:t>
      </w:r>
      <w:r>
        <w:rPr>
          <w:rFonts w:ascii="Arial" w:hAnsi="Arial" w:cs="Arial"/>
          <w:color w:val="000000"/>
          <w:szCs w:val="22"/>
          <w:lang w:eastAsia="ja-JP"/>
        </w:rPr>
        <w:t>as</w:t>
      </w:r>
      <w:r w:rsidRPr="00162E30">
        <w:rPr>
          <w:rFonts w:ascii="Arial" w:hAnsi="Arial" w:cs="Arial"/>
          <w:color w:val="000000"/>
          <w:szCs w:val="22"/>
          <w:lang w:eastAsia="ja-JP"/>
        </w:rPr>
        <w:t xml:space="preserve">p are suitable activities to promote the </w:t>
      </w:r>
      <w:r>
        <w:rPr>
          <w:rFonts w:ascii="Arial" w:hAnsi="Arial" w:cs="Arial"/>
          <w:color w:val="000000"/>
          <w:szCs w:val="22"/>
          <w:lang w:eastAsia="ja-JP"/>
        </w:rPr>
        <w:t xml:space="preserve">traditional tripod </w:t>
      </w:r>
      <w:r w:rsidRPr="00162E30">
        <w:rPr>
          <w:rFonts w:ascii="Arial" w:hAnsi="Arial" w:cs="Arial"/>
          <w:color w:val="000000"/>
          <w:szCs w:val="22"/>
          <w:lang w:eastAsia="ja-JP"/>
        </w:rPr>
        <w:t>gr</w:t>
      </w:r>
      <w:r>
        <w:rPr>
          <w:rFonts w:ascii="Arial" w:hAnsi="Arial" w:cs="Arial"/>
          <w:color w:val="000000"/>
          <w:szCs w:val="22"/>
          <w:lang w:eastAsia="ja-JP"/>
        </w:rPr>
        <w:t>as</w:t>
      </w:r>
      <w:r w:rsidRPr="00162E30">
        <w:rPr>
          <w:rFonts w:ascii="Arial" w:hAnsi="Arial" w:cs="Arial"/>
          <w:color w:val="000000"/>
          <w:szCs w:val="22"/>
          <w:lang w:eastAsia="ja-JP"/>
        </w:rPr>
        <w:t>p. For some early and fluent writers, ‘caterpillar slides’ where the three fingers slide the barrel of the pencil from the writing point to the top of the pencil’s barrel and back again – can h</w:t>
      </w:r>
      <w:r>
        <w:rPr>
          <w:rFonts w:ascii="Arial" w:hAnsi="Arial" w:cs="Arial"/>
          <w:color w:val="000000"/>
          <w:szCs w:val="22"/>
          <w:lang w:eastAsia="ja-JP"/>
        </w:rPr>
        <w:t>elp to teach and improve pen</w:t>
      </w:r>
      <w:r w:rsidR="00865BD0">
        <w:rPr>
          <w:rFonts w:ascii="Arial" w:hAnsi="Arial" w:cs="Arial"/>
          <w:color w:val="000000"/>
          <w:szCs w:val="22"/>
          <w:lang w:eastAsia="ja-JP"/>
        </w:rPr>
        <w:t>cil</w:t>
      </w:r>
      <w:r>
        <w:rPr>
          <w:rFonts w:ascii="Arial" w:hAnsi="Arial" w:cs="Arial"/>
          <w:color w:val="000000"/>
          <w:szCs w:val="22"/>
          <w:lang w:eastAsia="ja-JP"/>
        </w:rPr>
        <w:t xml:space="preserve"> grasp. </w:t>
      </w:r>
    </w:p>
    <w:p w14:paraId="0ED3715C" w14:textId="77777777" w:rsidR="0032149A" w:rsidRPr="00162E30" w:rsidRDefault="0032149A" w:rsidP="0032149A">
      <w:pPr>
        <w:spacing w:line="276" w:lineRule="auto"/>
        <w:jc w:val="both"/>
        <w:rPr>
          <w:rFonts w:ascii="Arial" w:hAnsi="Arial" w:cs="Arial"/>
          <w:szCs w:val="22"/>
        </w:rPr>
      </w:pPr>
    </w:p>
    <w:p w14:paraId="60B09369" w14:textId="77777777" w:rsidR="0032149A" w:rsidRPr="004D41FB" w:rsidRDefault="0032149A" w:rsidP="0032149A">
      <w:pPr>
        <w:spacing w:after="40"/>
        <w:rPr>
          <w:b/>
          <w:color w:val="FF0000"/>
          <w:sz w:val="24"/>
          <w:lang w:val="en-AU"/>
        </w:rPr>
      </w:pPr>
    </w:p>
    <w:p w14:paraId="3950F060" w14:textId="0D1BC83D" w:rsidR="00122369" w:rsidRPr="0032149A" w:rsidRDefault="00122369" w:rsidP="0032149A"/>
    <w:sectPr w:rsidR="00122369" w:rsidRPr="0032149A" w:rsidSect="0059259F">
      <w:headerReference w:type="default" r:id="rId16"/>
      <w:footerReference w:type="even" r:id="rId17"/>
      <w:footerReference w:type="default" r:id="rId18"/>
      <w:pgSz w:w="11900" w:h="16840"/>
      <w:pgMar w:top="1985" w:right="1134" w:bottom="1701" w:left="113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E14E4" w14:textId="77777777" w:rsidR="00704D14" w:rsidRDefault="00704D14" w:rsidP="003967DD">
      <w:pPr>
        <w:spacing w:after="0"/>
      </w:pPr>
      <w:r>
        <w:separator/>
      </w:r>
    </w:p>
  </w:endnote>
  <w:endnote w:type="continuationSeparator" w:id="0">
    <w:p w14:paraId="79FAC11B" w14:textId="77777777" w:rsidR="00704D14" w:rsidRDefault="00704D14" w:rsidP="003967DD">
      <w:pPr>
        <w:spacing w:after="0"/>
      </w:pPr>
      <w:r>
        <w:continuationSeparator/>
      </w:r>
    </w:p>
  </w:endnote>
  <w:endnote w:type="continuationNotice" w:id="1">
    <w:p w14:paraId="5B5A015F" w14:textId="77777777" w:rsidR="00704D14" w:rsidRDefault="00704D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026C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026C8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026C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7FE98000" w14:textId="77777777" w:rsidR="00026C8B" w:rsidRPr="00580388" w:rsidRDefault="00026C8B" w:rsidP="00026C8B">
    <w:pPr>
      <w:widowControl w:val="0"/>
      <w:suppressAutoHyphens/>
      <w:autoSpaceDE w:val="0"/>
      <w:autoSpaceDN w:val="0"/>
      <w:adjustRightInd w:val="0"/>
      <w:spacing w:after="0"/>
      <w:ind w:right="360"/>
      <w:textAlignment w:val="center"/>
      <w:rPr>
        <w:rFonts w:ascii="Arial" w:eastAsia="Times New Roman" w:hAnsi="Arial" w:cs="Arial"/>
        <w:color w:val="000000"/>
        <w:spacing w:val="3"/>
        <w:sz w:val="16"/>
        <w:szCs w:val="16"/>
        <w:lang w:eastAsia="ja-JP"/>
      </w:rPr>
    </w:pPr>
    <w:r w:rsidRPr="00580388">
      <w:rPr>
        <w:rFonts w:ascii="Arial" w:eastAsia="Times New Roman" w:hAnsi="Arial" w:cs="Arial"/>
        <w:color w:val="000000"/>
        <w:spacing w:val="3"/>
        <w:sz w:val="16"/>
        <w:szCs w:val="16"/>
        <w:lang w:eastAsia="ja-JP"/>
      </w:rPr>
      <w:t>The Teaching of Handwriting Revised Edition</w:t>
    </w:r>
    <w:r w:rsidRPr="00580388">
      <w:rPr>
        <w:rFonts w:ascii="Arial" w:eastAsia="Times New Roman" w:hAnsi="Arial" w:cs="Arial"/>
        <w:color w:val="000000"/>
        <w:spacing w:val="3"/>
        <w:sz w:val="16"/>
        <w:szCs w:val="16"/>
        <w:lang w:eastAsia="ja-JP"/>
      </w:rPr>
      <w:br/>
      <w:t>Published by the Department of Education &amp; Training, GPO Box 4367, Melbourne, Vic. 3001, Australia.</w:t>
    </w:r>
  </w:p>
  <w:p w14:paraId="3BE06BBF" w14:textId="77777777" w:rsidR="00026C8B" w:rsidRDefault="00026C8B" w:rsidP="00026C8B">
    <w:pPr>
      <w:pStyle w:val="Heading3"/>
      <w:rPr>
        <w:lang w:val="en-AU"/>
      </w:rPr>
    </w:pPr>
    <w:r w:rsidRPr="00580388">
      <w:rPr>
        <w:rFonts w:ascii="Arial" w:eastAsia="Times New Roman" w:hAnsi="Arial" w:cs="Arial"/>
        <w:b w:val="0"/>
        <w:color w:val="000000"/>
        <w:spacing w:val="3"/>
        <w:sz w:val="16"/>
        <w:szCs w:val="16"/>
        <w:lang w:eastAsia="ja-JP"/>
      </w:rPr>
      <w:t>© State o</w:t>
    </w:r>
    <w:r w:rsidRPr="00580388">
      <w:rPr>
        <w:rFonts w:ascii="Arial" w:eastAsia="Times New Roman" w:hAnsi="Arial" w:cs="Arial"/>
        <w:b w:val="0"/>
        <w:color w:val="000000"/>
        <w:spacing w:val="20"/>
        <w:sz w:val="16"/>
        <w:szCs w:val="16"/>
        <w:lang w:eastAsia="ja-JP"/>
      </w:rPr>
      <w:t>f</w:t>
    </w:r>
    <w:r>
      <w:rPr>
        <w:rFonts w:ascii="Arial" w:eastAsia="Times New Roman" w:hAnsi="Arial" w:cs="Arial"/>
        <w:b w:val="0"/>
        <w:color w:val="000000"/>
        <w:spacing w:val="3"/>
        <w:sz w:val="16"/>
        <w:szCs w:val="16"/>
        <w:lang w:eastAsia="ja-JP"/>
      </w:rPr>
      <w:t xml:space="preserve"> Victoria.</w:t>
    </w:r>
    <w:r w:rsidRPr="00580388">
      <w:rPr>
        <w:rFonts w:ascii="Arial" w:eastAsia="Times New Roman" w:hAnsi="Arial" w:cs="Arial"/>
        <w:b w:val="0"/>
        <w:color w:val="000000"/>
        <w:spacing w:val="3"/>
        <w:sz w:val="16"/>
        <w:szCs w:val="16"/>
        <w:lang w:eastAsia="ja-JP"/>
      </w:rPr>
      <w:t xml:space="preserve"> First published 1985.</w:t>
    </w:r>
    <w:r>
      <w:rPr>
        <w:rFonts w:ascii="Arial" w:eastAsia="Times New Roman" w:hAnsi="Arial" w:cs="Arial"/>
        <w:b w:val="0"/>
        <w:color w:val="000000"/>
        <w:spacing w:val="3"/>
        <w:sz w:val="16"/>
        <w:szCs w:val="16"/>
        <w:lang w:eastAsia="ja-JP"/>
      </w:rPr>
      <w:t xml:space="preserve"> Revised 2002 and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5F95D" w14:textId="77777777" w:rsidR="00704D14" w:rsidRDefault="00704D14" w:rsidP="003967DD">
      <w:pPr>
        <w:spacing w:after="0"/>
      </w:pPr>
      <w:r>
        <w:separator/>
      </w:r>
    </w:p>
  </w:footnote>
  <w:footnote w:type="continuationSeparator" w:id="0">
    <w:p w14:paraId="477E6794" w14:textId="77777777" w:rsidR="00704D14" w:rsidRDefault="00704D14" w:rsidP="003967DD">
      <w:pPr>
        <w:spacing w:after="0"/>
      </w:pPr>
      <w:r>
        <w:continuationSeparator/>
      </w:r>
    </w:p>
  </w:footnote>
  <w:footnote w:type="continuationNotice" w:id="1">
    <w:p w14:paraId="7A1434BE" w14:textId="77777777" w:rsidR="00704D14" w:rsidRDefault="00704D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65062C08" w:rsidR="003967DD" w:rsidRDefault="000861DD">
    <w:pPr>
      <w:pStyle w:val="Header"/>
    </w:pPr>
    <w:r>
      <w:rPr>
        <w:noProof/>
      </w:rPr>
      <w:drawing>
        <wp:anchor distT="0" distB="0" distL="114300" distR="114300" simplePos="0" relativeHeight="251657216" behindDoc="1" locked="0" layoutInCell="1" allowOverlap="1" wp14:anchorId="7CE31918" wp14:editId="110641E7">
          <wp:simplePos x="0" y="0"/>
          <wp:positionH relativeFrom="page">
            <wp:posOffset>0</wp:posOffset>
          </wp:positionH>
          <wp:positionV relativeFrom="page">
            <wp:posOffset>6345</wp:posOffset>
          </wp:positionV>
          <wp:extent cx="7550421" cy="10672107"/>
          <wp:effectExtent l="0" t="0" r="6350" b="0"/>
          <wp:wrapNone/>
          <wp:docPr id="233269320" name="Picture 233269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8405C9"/>
    <w:multiLevelType w:val="hybridMultilevel"/>
    <w:tmpl w:val="2EF02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58882">
    <w:abstractNumId w:val="0"/>
  </w:num>
  <w:num w:numId="2" w16cid:durableId="504709248">
    <w:abstractNumId w:val="1"/>
  </w:num>
  <w:num w:numId="3" w16cid:durableId="343440403">
    <w:abstractNumId w:val="2"/>
  </w:num>
  <w:num w:numId="4" w16cid:durableId="585696792">
    <w:abstractNumId w:val="3"/>
  </w:num>
  <w:num w:numId="5" w16cid:durableId="650792367">
    <w:abstractNumId w:val="4"/>
  </w:num>
  <w:num w:numId="6" w16cid:durableId="558590963">
    <w:abstractNumId w:val="9"/>
  </w:num>
  <w:num w:numId="7" w16cid:durableId="840706194">
    <w:abstractNumId w:val="5"/>
  </w:num>
  <w:num w:numId="8" w16cid:durableId="1000232430">
    <w:abstractNumId w:val="6"/>
  </w:num>
  <w:num w:numId="9" w16cid:durableId="1830556844">
    <w:abstractNumId w:val="7"/>
  </w:num>
  <w:num w:numId="10" w16cid:durableId="845824011">
    <w:abstractNumId w:val="8"/>
  </w:num>
  <w:num w:numId="11" w16cid:durableId="217400481">
    <w:abstractNumId w:val="10"/>
  </w:num>
  <w:num w:numId="12" w16cid:durableId="1793596891">
    <w:abstractNumId w:val="14"/>
  </w:num>
  <w:num w:numId="13" w16cid:durableId="1077093040">
    <w:abstractNumId w:val="16"/>
  </w:num>
  <w:num w:numId="14" w16cid:durableId="548568946">
    <w:abstractNumId w:val="17"/>
  </w:num>
  <w:num w:numId="15" w16cid:durableId="1307275789">
    <w:abstractNumId w:val="12"/>
  </w:num>
  <w:num w:numId="16" w16cid:durableId="1422794765">
    <w:abstractNumId w:val="15"/>
  </w:num>
  <w:num w:numId="17" w16cid:durableId="2083717576">
    <w:abstractNumId w:val="13"/>
  </w:num>
  <w:num w:numId="18" w16cid:durableId="3647165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09C7"/>
    <w:rsid w:val="000256E2"/>
    <w:rsid w:val="00026C8B"/>
    <w:rsid w:val="00080DA9"/>
    <w:rsid w:val="000861DD"/>
    <w:rsid w:val="000A46C6"/>
    <w:rsid w:val="000A47D4"/>
    <w:rsid w:val="000C600E"/>
    <w:rsid w:val="00122369"/>
    <w:rsid w:val="00122CA8"/>
    <w:rsid w:val="00150E0F"/>
    <w:rsid w:val="00152D41"/>
    <w:rsid w:val="00157212"/>
    <w:rsid w:val="0016287D"/>
    <w:rsid w:val="001B03CB"/>
    <w:rsid w:val="001C24E2"/>
    <w:rsid w:val="001D0D94"/>
    <w:rsid w:val="001D13F9"/>
    <w:rsid w:val="001F39DD"/>
    <w:rsid w:val="002512BE"/>
    <w:rsid w:val="00275FB8"/>
    <w:rsid w:val="002A4A96"/>
    <w:rsid w:val="002B74B7"/>
    <w:rsid w:val="002E3BED"/>
    <w:rsid w:val="002F0E2F"/>
    <w:rsid w:val="002F41D7"/>
    <w:rsid w:val="002F6115"/>
    <w:rsid w:val="00312720"/>
    <w:rsid w:val="0032149A"/>
    <w:rsid w:val="00343AFC"/>
    <w:rsid w:val="0034745C"/>
    <w:rsid w:val="003967DD"/>
    <w:rsid w:val="003A4C39"/>
    <w:rsid w:val="003E007B"/>
    <w:rsid w:val="0042333B"/>
    <w:rsid w:val="00431FB6"/>
    <w:rsid w:val="00443E58"/>
    <w:rsid w:val="00475232"/>
    <w:rsid w:val="004A2E74"/>
    <w:rsid w:val="004B2ED6"/>
    <w:rsid w:val="004B632F"/>
    <w:rsid w:val="00500ADA"/>
    <w:rsid w:val="00512BBA"/>
    <w:rsid w:val="00555277"/>
    <w:rsid w:val="00567CF0"/>
    <w:rsid w:val="00584366"/>
    <w:rsid w:val="0059259F"/>
    <w:rsid w:val="005A4F12"/>
    <w:rsid w:val="005E0713"/>
    <w:rsid w:val="00624A55"/>
    <w:rsid w:val="006523D7"/>
    <w:rsid w:val="006671CE"/>
    <w:rsid w:val="006A1F8A"/>
    <w:rsid w:val="006A25AC"/>
    <w:rsid w:val="006C45C0"/>
    <w:rsid w:val="006E2B9A"/>
    <w:rsid w:val="00704D14"/>
    <w:rsid w:val="00710CED"/>
    <w:rsid w:val="00735566"/>
    <w:rsid w:val="00767573"/>
    <w:rsid w:val="00793883"/>
    <w:rsid w:val="007B556E"/>
    <w:rsid w:val="007C6976"/>
    <w:rsid w:val="007D3E38"/>
    <w:rsid w:val="007D40FC"/>
    <w:rsid w:val="007E71DF"/>
    <w:rsid w:val="008065DA"/>
    <w:rsid w:val="00865BD0"/>
    <w:rsid w:val="00890680"/>
    <w:rsid w:val="00892E24"/>
    <w:rsid w:val="008B1737"/>
    <w:rsid w:val="008F3D35"/>
    <w:rsid w:val="009214DC"/>
    <w:rsid w:val="00934E38"/>
    <w:rsid w:val="00952690"/>
    <w:rsid w:val="00954B9A"/>
    <w:rsid w:val="00982410"/>
    <w:rsid w:val="0099358C"/>
    <w:rsid w:val="009B79B6"/>
    <w:rsid w:val="009E7E8B"/>
    <w:rsid w:val="009F6A77"/>
    <w:rsid w:val="00A31926"/>
    <w:rsid w:val="00A710DF"/>
    <w:rsid w:val="00AA0FDE"/>
    <w:rsid w:val="00AD52A5"/>
    <w:rsid w:val="00B21562"/>
    <w:rsid w:val="00B400EB"/>
    <w:rsid w:val="00B448C1"/>
    <w:rsid w:val="00B47FF8"/>
    <w:rsid w:val="00B707D9"/>
    <w:rsid w:val="00B775D4"/>
    <w:rsid w:val="00BA5296"/>
    <w:rsid w:val="00BB440E"/>
    <w:rsid w:val="00BC3C4A"/>
    <w:rsid w:val="00C129C7"/>
    <w:rsid w:val="00C15246"/>
    <w:rsid w:val="00C539BB"/>
    <w:rsid w:val="00CC5AA8"/>
    <w:rsid w:val="00CD5993"/>
    <w:rsid w:val="00CE7916"/>
    <w:rsid w:val="00D17E55"/>
    <w:rsid w:val="00D9777A"/>
    <w:rsid w:val="00DC48EE"/>
    <w:rsid w:val="00DC4D0D"/>
    <w:rsid w:val="00E34263"/>
    <w:rsid w:val="00E34721"/>
    <w:rsid w:val="00E4317E"/>
    <w:rsid w:val="00E47519"/>
    <w:rsid w:val="00E5030B"/>
    <w:rsid w:val="00E64758"/>
    <w:rsid w:val="00E77EB9"/>
    <w:rsid w:val="00E8183A"/>
    <w:rsid w:val="00E87E91"/>
    <w:rsid w:val="00EA1900"/>
    <w:rsid w:val="00F20CEC"/>
    <w:rsid w:val="00F5271F"/>
    <w:rsid w:val="00F94715"/>
    <w:rsid w:val="00FC1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EF0C75C-BDBB-4EF2-A3D4-F1B0B92D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7E71DF"/>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7E71DF"/>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71CE"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4A2E74"/>
    <w:rPr>
      <w:b/>
      <w:iCs/>
      <w:color w:val="E25205" w:themeColor="accent1"/>
      <w:sz w:val="22"/>
    </w:rPr>
  </w:style>
  <w:style w:type="paragraph" w:customStyle="1" w:styleId="Copyrighttext">
    <w:name w:val="Copyright text"/>
    <w:basedOn w:val="Normal"/>
    <w:qFormat/>
    <w:rsid w:val="007D40FC"/>
    <w:pPr>
      <w:spacing w:after="40"/>
    </w:pPr>
    <w:rPr>
      <w:sz w:val="12"/>
      <w:szCs w:val="12"/>
    </w:rPr>
  </w:style>
  <w:style w:type="character" w:styleId="CommentReference">
    <w:name w:val="annotation reference"/>
    <w:basedOn w:val="DefaultParagraphFont"/>
    <w:uiPriority w:val="99"/>
    <w:semiHidden/>
    <w:unhideWhenUsed/>
    <w:rsid w:val="00026C8B"/>
    <w:rPr>
      <w:sz w:val="16"/>
      <w:szCs w:val="16"/>
    </w:rPr>
  </w:style>
  <w:style w:type="paragraph" w:styleId="CommentText">
    <w:name w:val="annotation text"/>
    <w:basedOn w:val="Normal"/>
    <w:link w:val="CommentTextChar"/>
    <w:uiPriority w:val="99"/>
    <w:unhideWhenUsed/>
    <w:rsid w:val="00026C8B"/>
    <w:rPr>
      <w:sz w:val="20"/>
      <w:szCs w:val="20"/>
    </w:rPr>
  </w:style>
  <w:style w:type="character" w:customStyle="1" w:styleId="CommentTextChar">
    <w:name w:val="Comment Text Char"/>
    <w:basedOn w:val="DefaultParagraphFont"/>
    <w:link w:val="CommentText"/>
    <w:uiPriority w:val="99"/>
    <w:rsid w:val="00026C8B"/>
    <w:rPr>
      <w:sz w:val="20"/>
      <w:szCs w:val="20"/>
    </w:rPr>
  </w:style>
  <w:style w:type="paragraph" w:customStyle="1" w:styleId="List1">
    <w:name w:val="List 1"/>
    <w:rsid w:val="00C15246"/>
    <w:pPr>
      <w:spacing w:line="480" w:lineRule="auto"/>
      <w:ind w:left="283" w:hanging="283"/>
    </w:pPr>
    <w:rPr>
      <w:rFonts w:ascii="Times New Roman" w:eastAsia="Times New Roman" w:hAnsi="Times New Roman" w:cs="Times New Roman"/>
      <w:lang w:eastAsia="en-AU"/>
      <w14:ligatures w14:val="standardContextual"/>
    </w:rPr>
  </w:style>
  <w:style w:type="paragraph" w:styleId="BodyText">
    <w:name w:val="Body Text"/>
    <w:link w:val="BodyTextChar"/>
    <w:rsid w:val="0032149A"/>
    <w:pPr>
      <w:spacing w:line="360" w:lineRule="auto"/>
      <w:jc w:val="both"/>
    </w:pPr>
    <w:rPr>
      <w:rFonts w:ascii="Times New Roman" w:eastAsia="Times New Roman" w:hAnsi="Times New Roman" w:cs="Times New Roman"/>
      <w:lang w:eastAsia="en-AU"/>
    </w:rPr>
  </w:style>
  <w:style w:type="character" w:customStyle="1" w:styleId="BodyTextChar">
    <w:name w:val="Body Text Char"/>
    <w:basedOn w:val="DefaultParagraphFont"/>
    <w:link w:val="BodyText"/>
    <w:rsid w:val="0032149A"/>
    <w:rPr>
      <w:rFonts w:ascii="Times New Roman" w:eastAsia="Times New Roman" w:hAnsi="Times New Roman" w:cs="Times New Roman"/>
      <w:lang w:eastAsia="en-AU"/>
    </w:rPr>
  </w:style>
  <w:style w:type="character" w:customStyle="1" w:styleId="citation">
    <w:name w:val="citation"/>
    <w:rsid w:val="0032149A"/>
    <w:rPr>
      <w:rFonts w:ascii="Times New Roman" w:hAnsi="Times New Roman"/>
      <w:sz w:val="24"/>
      <w:szCs w:val="24"/>
      <w:lang w:val="en-GB"/>
    </w:rPr>
  </w:style>
  <w:style w:type="paragraph" w:styleId="BodyTextIndent">
    <w:name w:val="Body Text Indent"/>
    <w:basedOn w:val="Normal"/>
    <w:link w:val="BodyTextIndentChar"/>
    <w:uiPriority w:val="99"/>
    <w:unhideWhenUsed/>
    <w:rsid w:val="0032149A"/>
    <w:pPr>
      <w:ind w:left="283"/>
    </w:pPr>
  </w:style>
  <w:style w:type="character" w:customStyle="1" w:styleId="BodyTextIndentChar">
    <w:name w:val="Body Text Indent Char"/>
    <w:basedOn w:val="DefaultParagraphFont"/>
    <w:link w:val="BodyTextIndent"/>
    <w:uiPriority w:val="99"/>
    <w:rsid w:val="0032149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37a2b200-f654-4ad0-9a63-c032a64fd972"/>
    <ds:schemaRef ds:uri="b5426cb8-9245-4716-8b42-991f5d301053"/>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31B191B8-7E71-4B9A-BFDC-55C7925F6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835</Words>
  <Characters>4760</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Lesley Allbutt</cp:lastModifiedBy>
  <cp:revision>2</cp:revision>
  <dcterms:created xsi:type="dcterms:W3CDTF">2024-02-14T07:04:00Z</dcterms:created>
  <dcterms:modified xsi:type="dcterms:W3CDTF">2024-02-14T07:04:00Z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94;#Education|5232e41c-5101-41fe-b638-7d41d1371531</vt:lpwstr>
  </property>
  <property fmtid="{D5CDD505-2E9C-101B-9397-08002B2CF9AE}" pid="5" name="DEECD_ItemType">
    <vt:lpwstr>101;#Page|eb523acf-a821-456c-a76b-7607578309d7</vt:lpwstr>
  </property>
</Properties>
</file>